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6E" w:rsidRDefault="0073266E" w:rsidP="00225B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21"/>
        </w:rPr>
      </w:pPr>
      <w:bookmarkStart w:id="0" w:name="_GoBack"/>
      <w:bookmarkEnd w:id="0"/>
      <w:r w:rsidRPr="006C4F02">
        <w:rPr>
          <w:rFonts w:ascii="Times New Roman" w:eastAsia="Times New Roman" w:hAnsi="Times New Roman" w:cs="Times New Roman"/>
          <w:b/>
          <w:sz w:val="40"/>
          <w:szCs w:val="21"/>
        </w:rPr>
        <w:t>Arkansas School Psychology Association (ASPA) Lifetime Achievement Award</w:t>
      </w:r>
    </w:p>
    <w:p w:rsidR="00225BE5" w:rsidRPr="006C4F02" w:rsidRDefault="00225BE5" w:rsidP="00225B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21"/>
        </w:rPr>
      </w:pPr>
    </w:p>
    <w:p w:rsidR="001C097D" w:rsidRDefault="001C097D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This award seeks to recognize a member of the </w:t>
      </w:r>
      <w:r w:rsidR="0073266E" w:rsidRPr="006C4F02">
        <w:rPr>
          <w:rFonts w:ascii="Times New Roman" w:eastAsia="Times New Roman" w:hAnsi="Times New Roman" w:cs="Times New Roman"/>
          <w:sz w:val="21"/>
          <w:szCs w:val="21"/>
        </w:rPr>
        <w:t xml:space="preserve">school psychology 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profession who has devoted his or her professional life to the improvement of the profession.  </w:t>
      </w:r>
    </w:p>
    <w:p w:rsidR="00225BE5" w:rsidRDefault="00225BE5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C097D" w:rsidRPr="001C097D" w:rsidRDefault="001C097D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Candidates must be current members of </w:t>
      </w:r>
      <w:r>
        <w:rPr>
          <w:rFonts w:ascii="Times New Roman" w:eastAsia="Times New Roman" w:hAnsi="Times New Roman" w:cs="Times New Roman"/>
          <w:sz w:val="21"/>
          <w:szCs w:val="21"/>
        </w:rPr>
        <w:t>ASPA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 who are school psychology practitioners, trainers, supervisors, administrators, state consultants, or researchers and have made major local, state, and national contributions.  Nominees must have demonstrated at least twenty-five years of service to the field, and have been a member of </w:t>
      </w:r>
      <w:r>
        <w:rPr>
          <w:rFonts w:ascii="Times New Roman" w:eastAsia="Times New Roman" w:hAnsi="Times New Roman" w:cs="Times New Roman"/>
          <w:sz w:val="21"/>
          <w:szCs w:val="21"/>
        </w:rPr>
        <w:t>ASPA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 for at least 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 years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Candidates may be retired.  The award may be presented posthumously.  The award is presented at </w:t>
      </w:r>
      <w:r w:rsidR="0073266E" w:rsidRPr="006C4F02">
        <w:rPr>
          <w:rFonts w:ascii="Times New Roman" w:eastAsia="Times New Roman" w:hAnsi="Times New Roman" w:cs="Times New Roman"/>
          <w:sz w:val="21"/>
          <w:szCs w:val="21"/>
        </w:rPr>
        <w:t xml:space="preserve">an annual </w:t>
      </w:r>
      <w:r>
        <w:rPr>
          <w:rFonts w:ascii="Times New Roman" w:eastAsia="Times New Roman" w:hAnsi="Times New Roman" w:cs="Times New Roman"/>
          <w:sz w:val="21"/>
          <w:szCs w:val="21"/>
        </w:rPr>
        <w:t>ASPA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 annual </w:t>
      </w:r>
      <w:r w:rsidR="0073266E" w:rsidRPr="006C4F02">
        <w:rPr>
          <w:rFonts w:ascii="Times New Roman" w:eastAsia="Times New Roman" w:hAnsi="Times New Roman" w:cs="Times New Roman"/>
          <w:sz w:val="21"/>
          <w:szCs w:val="21"/>
        </w:rPr>
        <w:t>conference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The recipient will be also nominated for the NASP Lifetime Achievement award should they also meet the NASP requirements.</w:t>
      </w: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1C097D" w:rsidRPr="001C097D" w:rsidRDefault="001C097D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  <w:r w:rsidRPr="001C097D"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  <w:t>Purpose</w:t>
      </w:r>
    </w:p>
    <w:p w:rsidR="00225BE5" w:rsidRDefault="00225BE5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C097D" w:rsidRPr="001C097D" w:rsidRDefault="001C097D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eastAsia="Times New Roman" w:hAnsi="Times New Roman" w:cs="Times New Roman"/>
          <w:sz w:val="21"/>
          <w:szCs w:val="21"/>
        </w:rPr>
        <w:t>ASPA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 Lifetime Achievement Award recognizes an outstanding sc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hool psychologist who has had an 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>impact on the field and has dedicated his/her professional life to the development and improvement of school psychology</w:t>
      </w:r>
      <w:r w:rsidR="0073266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73266E" w:rsidRPr="006C4F02">
        <w:rPr>
          <w:rFonts w:ascii="Times New Roman" w:eastAsia="Times New Roman" w:hAnsi="Times New Roman" w:cs="Times New Roman"/>
          <w:sz w:val="21"/>
          <w:szCs w:val="21"/>
        </w:rPr>
        <w:t>in the State of Arkansas.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1C097D" w:rsidRPr="001C097D" w:rsidRDefault="001C097D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  <w:r w:rsidRPr="001C097D"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  <w:t>Who can nominate?</w:t>
      </w:r>
    </w:p>
    <w:p w:rsidR="00225BE5" w:rsidRDefault="00225BE5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C097D" w:rsidRPr="001C097D" w:rsidRDefault="001C097D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Anyone may make a nomination.</w:t>
      </w: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1C097D" w:rsidRPr="001C097D" w:rsidRDefault="001C097D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  <w:r w:rsidRPr="001C097D"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  <w:t>Who is Eligible?</w:t>
      </w:r>
    </w:p>
    <w:p w:rsidR="00225BE5" w:rsidRDefault="00225BE5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C097D" w:rsidRPr="001C097D" w:rsidRDefault="001C097D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>Practicing or retired school psycholog</w:t>
      </w:r>
      <w:r>
        <w:rPr>
          <w:rFonts w:ascii="Times New Roman" w:eastAsia="Times New Roman" w:hAnsi="Times New Roman" w:cs="Times New Roman"/>
          <w:sz w:val="21"/>
          <w:szCs w:val="21"/>
        </w:rPr>
        <w:t>y specialists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 who work or have worked as practitioners, trainers, supervisors, state consultants, researchers, or administrators are eligible for this award.  This award may be presented posthumously.</w:t>
      </w: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1C097D" w:rsidRPr="001C097D" w:rsidRDefault="001C097D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  <w:r w:rsidRPr="001C097D"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  <w:t>Criteria for Nominees</w:t>
      </w:r>
    </w:p>
    <w:p w:rsidR="00225BE5" w:rsidRDefault="00225BE5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C097D" w:rsidRPr="001C097D" w:rsidRDefault="001C097D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>Candidates for the NASP Lifetime Achievement Award must have:</w:t>
      </w:r>
    </w:p>
    <w:p w:rsidR="001C097D" w:rsidRPr="001C097D" w:rsidRDefault="001C097D" w:rsidP="00225BE5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3266E">
        <w:rPr>
          <w:rFonts w:ascii="Times New Roman" w:eastAsia="Times New Roman" w:hAnsi="Times New Roman" w:cs="Times New Roman"/>
          <w:sz w:val="21"/>
          <w:szCs w:val="21"/>
        </w:rPr>
        <w:t>At least 25 years</w:t>
      </w: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 of service in the field of school psychology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73266E" w:rsidRPr="0073266E" w:rsidRDefault="001C097D" w:rsidP="00225BE5">
      <w:pPr>
        <w:numPr>
          <w:ilvl w:val="0"/>
          <w:numId w:val="2"/>
        </w:numPr>
        <w:spacing w:after="0" w:line="240" w:lineRule="auto"/>
        <w:ind w:left="4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  <w:r w:rsidRPr="0073266E">
        <w:rPr>
          <w:rFonts w:ascii="Times New Roman" w:eastAsia="Times New Roman" w:hAnsi="Times New Roman" w:cs="Times New Roman"/>
          <w:sz w:val="21"/>
          <w:szCs w:val="21"/>
        </w:rPr>
        <w:t>Ma</w:t>
      </w:r>
      <w:r w:rsidR="00483A15" w:rsidRPr="0073266E">
        <w:rPr>
          <w:rFonts w:ascii="Times New Roman" w:eastAsia="Times New Roman" w:hAnsi="Times New Roman" w:cs="Times New Roman"/>
          <w:sz w:val="21"/>
          <w:szCs w:val="21"/>
        </w:rPr>
        <w:t xml:space="preserve">intained an ASPA </w:t>
      </w:r>
      <w:r w:rsidRPr="0073266E">
        <w:rPr>
          <w:rFonts w:ascii="Times New Roman" w:eastAsia="Times New Roman" w:hAnsi="Times New Roman" w:cs="Times New Roman"/>
          <w:sz w:val="21"/>
          <w:szCs w:val="21"/>
        </w:rPr>
        <w:t xml:space="preserve">membership for at least </w:t>
      </w:r>
      <w:r w:rsidR="00483A15" w:rsidRPr="0073266E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73266E">
        <w:rPr>
          <w:rFonts w:ascii="Times New Roman" w:eastAsia="Times New Roman" w:hAnsi="Times New Roman" w:cs="Times New Roman"/>
          <w:sz w:val="21"/>
          <w:szCs w:val="21"/>
        </w:rPr>
        <w:t xml:space="preserve"> years</w:t>
      </w:r>
      <w:r w:rsidR="0073266E">
        <w:rPr>
          <w:rFonts w:ascii="Times New Roman" w:eastAsia="Times New Roman" w:hAnsi="Times New Roman" w:cs="Times New Roman"/>
          <w:sz w:val="21"/>
          <w:szCs w:val="21"/>
        </w:rPr>
        <w:t xml:space="preserve"> and</w:t>
      </w:r>
      <w:r w:rsidRPr="0073266E">
        <w:rPr>
          <w:rFonts w:ascii="Times New Roman" w:eastAsia="Times New Roman" w:hAnsi="Times New Roman" w:cs="Times New Roman"/>
          <w:sz w:val="21"/>
          <w:szCs w:val="21"/>
        </w:rPr>
        <w:t xml:space="preserve"> must be a current member</w:t>
      </w:r>
      <w:r w:rsidR="0073266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1C097D" w:rsidRPr="0073266E" w:rsidRDefault="001C097D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  <w:r w:rsidRPr="0073266E"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  <w:lastRenderedPageBreak/>
        <w:t>Selection Criteria</w:t>
      </w:r>
    </w:p>
    <w:p w:rsidR="00225BE5" w:rsidRDefault="00225BE5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C097D" w:rsidRPr="001C097D" w:rsidRDefault="001C097D" w:rsidP="00225B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>Candidates will be evaluated in terms of major contributions to the field of school psychology throughout their careers in each of the following areas:</w:t>
      </w:r>
    </w:p>
    <w:p w:rsidR="001C097D" w:rsidRPr="001C097D" w:rsidRDefault="001C097D" w:rsidP="00225BE5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Direct service to children, schools, and families by providing school-based comprehensive services (consultation, assessment, </w:t>
      </w:r>
      <w:r w:rsidR="0073266E">
        <w:rPr>
          <w:rFonts w:ascii="Times New Roman" w:eastAsia="Times New Roman" w:hAnsi="Times New Roman" w:cs="Times New Roman"/>
          <w:sz w:val="21"/>
          <w:szCs w:val="21"/>
        </w:rPr>
        <w:t xml:space="preserve">intervention, prevention, research and program evaluation, supervision, </w:t>
      </w:r>
      <w:proofErr w:type="gramStart"/>
      <w:r w:rsidRPr="001C097D">
        <w:rPr>
          <w:rFonts w:ascii="Times New Roman" w:eastAsia="Times New Roman" w:hAnsi="Times New Roman" w:cs="Times New Roman"/>
          <w:sz w:val="21"/>
          <w:szCs w:val="21"/>
        </w:rPr>
        <w:t>etc. )</w:t>
      </w:r>
      <w:proofErr w:type="gramEnd"/>
      <w:r w:rsidRPr="001C097D">
        <w:rPr>
          <w:rFonts w:ascii="Times New Roman" w:eastAsia="Times New Roman" w:hAnsi="Times New Roman" w:cs="Times New Roman"/>
          <w:sz w:val="21"/>
          <w:szCs w:val="21"/>
        </w:rPr>
        <w:t xml:space="preserve"> and/or administration of school-based psychological services.</w:t>
      </w:r>
    </w:p>
    <w:p w:rsidR="001C097D" w:rsidRPr="001C097D" w:rsidRDefault="001C097D" w:rsidP="00225BE5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>Service to the profession through local, state, and national organizations dedicated to the development and implementation of school psychological services</w:t>
      </w:r>
    </w:p>
    <w:p w:rsidR="001C097D" w:rsidRPr="001C097D" w:rsidRDefault="001C097D" w:rsidP="00225BE5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>Service to the profession through the development of school psychology training programs or through the provision of continuing professional development opportunities</w:t>
      </w:r>
    </w:p>
    <w:p w:rsidR="001C097D" w:rsidRDefault="001C097D" w:rsidP="00225BE5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1C097D">
        <w:rPr>
          <w:rFonts w:ascii="Times New Roman" w:eastAsia="Times New Roman" w:hAnsi="Times New Roman" w:cs="Times New Roman"/>
          <w:sz w:val="21"/>
          <w:szCs w:val="21"/>
        </w:rPr>
        <w:t>Service to the profession through research and publications that contribute to the knowledge base of school psychology</w:t>
      </w:r>
    </w:p>
    <w:p w:rsidR="00225BE5" w:rsidRPr="001C097D" w:rsidRDefault="00225BE5" w:rsidP="00225BE5">
      <w:p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C097D" w:rsidRDefault="001C097D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  <w:r w:rsidRPr="001C097D"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  <w:t>Procedures and Required Documents</w:t>
      </w:r>
    </w:p>
    <w:p w:rsidR="00225BE5" w:rsidRDefault="00225BE5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5"/>
          <w:szCs w:val="35"/>
        </w:rPr>
      </w:pPr>
    </w:p>
    <w:p w:rsidR="00483A15" w:rsidRDefault="006C4F02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1. </w:t>
      </w:r>
      <w:r w:rsidR="0073266E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A</w:t>
      </w:r>
      <w:r w:rsidR="00483A15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 </w:t>
      </w:r>
      <w:r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nomination </w:t>
      </w:r>
      <w:r w:rsidR="00483A15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letter </w:t>
      </w:r>
      <w:r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from the individual recommending the nominee that specifically address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e</w:t>
      </w:r>
      <w:r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s in</w:t>
      </w:r>
      <w:r w:rsidR="00483A15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 what ways the </w:t>
      </w:r>
      <w:r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nominee has</w:t>
      </w:r>
      <w:r w:rsidR="00483A15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 made a substantial contribution to the field and </w:t>
      </w:r>
      <w:r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also lists</w:t>
      </w:r>
      <w:r w:rsidR="00483A15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 2 or more specific </w:t>
      </w:r>
      <w:r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contributions (see Selection Criteria above)</w:t>
      </w:r>
      <w:r w:rsidR="00483A15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 that the </w:t>
      </w:r>
      <w:r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nominee</w:t>
      </w:r>
      <w:r w:rsidR="00483A15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 has been involved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which</w:t>
      </w:r>
      <w:r w:rsidR="00483A15" w:rsidRPr="006C4F02"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 xml:space="preserve"> provide evidence of a significant contribution. </w:t>
      </w:r>
    </w:p>
    <w:p w:rsidR="006C4F02" w:rsidRDefault="006C4F02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35"/>
        </w:rPr>
        <w:t>2. Two additional</w:t>
      </w:r>
      <w:r w:rsidR="001C097D" w:rsidRPr="001C097D">
        <w:rPr>
          <w:rFonts w:ascii="Times New Roman" w:eastAsia="Times New Roman" w:hAnsi="Times New Roman" w:cs="Times New Roman"/>
          <w:sz w:val="21"/>
          <w:szCs w:val="21"/>
        </w:rPr>
        <w:t xml:space="preserve"> letter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 w:rsidR="001C097D" w:rsidRPr="001C097D">
        <w:rPr>
          <w:rFonts w:ascii="Times New Roman" w:eastAsia="Times New Roman" w:hAnsi="Times New Roman" w:cs="Times New Roman"/>
          <w:sz w:val="21"/>
          <w:szCs w:val="21"/>
        </w:rPr>
        <w:t xml:space="preserve"> of support from individual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 w:rsidR="001C097D" w:rsidRPr="001C09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who are most familiar with the nominee’s professional work and contributions.</w:t>
      </w:r>
    </w:p>
    <w:p w:rsidR="001C097D" w:rsidRPr="006C4F02" w:rsidRDefault="006C4F02" w:rsidP="00225BE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4F02">
        <w:rPr>
          <w:rFonts w:ascii="Times New Roman" w:eastAsia="Times New Roman" w:hAnsi="Times New Roman" w:cs="Times New Roman"/>
          <w:sz w:val="24"/>
          <w:szCs w:val="24"/>
        </w:rPr>
        <w:t xml:space="preserve">3. Nominee </w:t>
      </w:r>
      <w:r w:rsidR="001C097D" w:rsidRPr="006C4F02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 w:rsidRPr="006C4F02">
        <w:rPr>
          <w:rFonts w:ascii="Times New Roman" w:eastAsia="Times New Roman" w:hAnsi="Times New Roman" w:cs="Times New Roman"/>
          <w:sz w:val="24"/>
          <w:szCs w:val="24"/>
        </w:rPr>
        <w:t>in the form of a current resume or curriculum vita.</w:t>
      </w:r>
    </w:p>
    <w:sectPr w:rsidR="001C097D" w:rsidRPr="006C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5A65"/>
    <w:multiLevelType w:val="multilevel"/>
    <w:tmpl w:val="4F14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1D79BF"/>
    <w:multiLevelType w:val="multilevel"/>
    <w:tmpl w:val="E674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E2994"/>
    <w:multiLevelType w:val="multilevel"/>
    <w:tmpl w:val="80B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AF5843"/>
    <w:multiLevelType w:val="multilevel"/>
    <w:tmpl w:val="7BDE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7038E3"/>
    <w:multiLevelType w:val="multilevel"/>
    <w:tmpl w:val="3BE6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7D"/>
    <w:rsid w:val="00136227"/>
    <w:rsid w:val="001C097D"/>
    <w:rsid w:val="00225BE5"/>
    <w:rsid w:val="00483A15"/>
    <w:rsid w:val="005B6DC2"/>
    <w:rsid w:val="006C4F02"/>
    <w:rsid w:val="0073266E"/>
    <w:rsid w:val="008E070A"/>
    <w:rsid w:val="00E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B5B55-3259-4655-A302-9BB82DAA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69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93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169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232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70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587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Krystal Lovell</cp:lastModifiedBy>
  <cp:revision>2</cp:revision>
  <dcterms:created xsi:type="dcterms:W3CDTF">2024-08-12T23:57:00Z</dcterms:created>
  <dcterms:modified xsi:type="dcterms:W3CDTF">2024-08-12T23:57:00Z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964766485</vt:i4>
  </property>
</Properties>
</file>